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E4F0" w14:textId="77777777" w:rsid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p>
    <w:p w14:paraId="3899AA07" w14:textId="77777777" w:rsid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p>
    <w:p w14:paraId="15A0B842" w14:textId="6D10CD1C"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Europos Sąjungos socialinės apsaugos sistemų</w:t>
      </w:r>
    </w:p>
    <w:p w14:paraId="51C969AF" w14:textId="77777777"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koordinavimo reglamentų bei Prekybos ir</w:t>
      </w:r>
    </w:p>
    <w:p w14:paraId="36E830C5" w14:textId="77777777"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bendradarbiavimo susitarimo nuostatų,</w:t>
      </w:r>
    </w:p>
    <w:p w14:paraId="04A3D960" w14:textId="77777777"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susijusių su nedarbo socialinio draudimo</w:t>
      </w:r>
    </w:p>
    <w:p w14:paraId="1CD6E941" w14:textId="77777777"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išmokų skyrimu, mokėjimu ir draudimo</w:t>
      </w:r>
    </w:p>
    <w:p w14:paraId="7BBF30FC" w14:textId="77777777"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laikotarpių sumavimu, įgyvendinimo tvarkos</w:t>
      </w:r>
    </w:p>
    <w:p w14:paraId="70C73399" w14:textId="77777777"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aprašo</w:t>
      </w:r>
    </w:p>
    <w:p w14:paraId="25135EC2" w14:textId="77777777" w:rsidR="00DB5AD5" w:rsidRPr="00DB5AD5" w:rsidRDefault="00DB5AD5" w:rsidP="00DB5AD5">
      <w:pPr>
        <w:spacing w:after="0" w:line="240" w:lineRule="auto"/>
        <w:ind w:left="4820"/>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5 priedas</w:t>
      </w:r>
    </w:p>
    <w:p w14:paraId="7326FAC9" w14:textId="77777777" w:rsidR="00DB5AD5" w:rsidRDefault="00DB5AD5" w:rsidP="00DB5AD5">
      <w:pPr>
        <w:spacing w:after="0" w:line="240" w:lineRule="auto"/>
        <w:jc w:val="center"/>
        <w:rPr>
          <w:rFonts w:ascii="Times New Roman" w:eastAsia="Times New Roman" w:hAnsi="Times New Roman" w:cs="Times New Roman"/>
          <w:b/>
          <w:bCs/>
          <w:color w:val="000000"/>
          <w:kern w:val="0"/>
          <w:lang w:eastAsia="lt-LT"/>
          <w14:ligatures w14:val="none"/>
        </w:rPr>
      </w:pPr>
      <w:r w:rsidRPr="00DB5AD5">
        <w:rPr>
          <w:rFonts w:ascii="Times New Roman" w:eastAsia="Times New Roman" w:hAnsi="Times New Roman" w:cs="Times New Roman"/>
          <w:b/>
          <w:bCs/>
          <w:color w:val="000000"/>
          <w:kern w:val="0"/>
          <w:lang w:eastAsia="lt-LT"/>
          <w14:ligatures w14:val="none"/>
        </w:rPr>
        <w:t> </w:t>
      </w:r>
    </w:p>
    <w:p w14:paraId="35B16917" w14:textId="77777777" w:rsidR="00DB5AD5" w:rsidRPr="00DB5AD5" w:rsidRDefault="00DB5AD5" w:rsidP="00DB5AD5">
      <w:pPr>
        <w:spacing w:after="0" w:line="240" w:lineRule="auto"/>
        <w:jc w:val="center"/>
        <w:rPr>
          <w:rFonts w:ascii="Times New Roman" w:eastAsia="Times New Roman" w:hAnsi="Times New Roman" w:cs="Times New Roman"/>
          <w:color w:val="000000"/>
          <w:kern w:val="0"/>
          <w:lang w:eastAsia="lt-LT"/>
          <w14:ligatures w14:val="none"/>
        </w:rPr>
      </w:pPr>
    </w:p>
    <w:p w14:paraId="396FE7B5" w14:textId="77777777" w:rsidR="00DB5AD5" w:rsidRPr="00DB5AD5" w:rsidRDefault="00DB5AD5" w:rsidP="00DB5AD5">
      <w:pPr>
        <w:spacing w:after="0" w:line="240" w:lineRule="auto"/>
        <w:jc w:val="center"/>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b/>
          <w:bCs/>
          <w:color w:val="000000"/>
          <w:kern w:val="0"/>
          <w:lang w:eastAsia="lt-LT"/>
          <w14:ligatures w14:val="none"/>
        </w:rPr>
        <w:t>BEDARBIO, KURIAM PASKIRTA NEDARBO SOCIALINIO DRAUDIMO IŠMOKA EKSPORTUOJAMA, ATMINTINĖ</w:t>
      </w:r>
    </w:p>
    <w:p w14:paraId="1518D9CE" w14:textId="77777777" w:rsidR="00DB5AD5" w:rsidRPr="00DB5AD5" w:rsidRDefault="00DB5AD5" w:rsidP="00DB5AD5">
      <w:pPr>
        <w:spacing w:after="0" w:line="30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 </w:t>
      </w:r>
    </w:p>
    <w:p w14:paraId="75687F83"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1. Nedarbo socialinio draudimo išmokų (toliau – NSDI) eksporto iš Lietuvos Respublikos į kitą Europos Sąjungos valstybę narę, Europos ekonominės erdvės valstybes (toliau – valstybės narės) tvarką reglamentuoja 2004 m. balandžio 29 d. Europos Parlamento ir Tarybos reglamentas </w:t>
      </w:r>
      <w:hyperlink r:id="rId4" w:tgtFrame="_blank" w:history="1">
        <w:r w:rsidRPr="00DB5AD5">
          <w:rPr>
            <w:rFonts w:ascii="Times New Roman" w:eastAsia="Times New Roman" w:hAnsi="Times New Roman" w:cs="Times New Roman"/>
            <w:color w:val="0000FF"/>
            <w:kern w:val="0"/>
            <w:u w:val="single"/>
            <w:lang w:eastAsia="lt-LT"/>
            <w14:ligatures w14:val="none"/>
          </w:rPr>
          <w:t>(EB) Nr. 883/2004</w:t>
        </w:r>
      </w:hyperlink>
      <w:r w:rsidRPr="00DB5AD5">
        <w:rPr>
          <w:rFonts w:ascii="Times New Roman" w:eastAsia="Times New Roman" w:hAnsi="Times New Roman" w:cs="Times New Roman"/>
          <w:color w:val="000000"/>
          <w:kern w:val="0"/>
          <w:lang w:eastAsia="lt-LT"/>
          <w14:ligatures w14:val="none"/>
        </w:rPr>
        <w:t> dėl socialinės apsaugos sistemų koordinavimo su paskutiniais pakeitimais, padarytais 2019 m. birželio 20 d. Europos Parlamento ir Tarybos reglamentu </w:t>
      </w:r>
      <w:hyperlink r:id="rId5" w:tgtFrame="_blank" w:history="1">
        <w:r w:rsidRPr="00DB5AD5">
          <w:rPr>
            <w:rFonts w:ascii="Times New Roman" w:eastAsia="Times New Roman" w:hAnsi="Times New Roman" w:cs="Times New Roman"/>
            <w:color w:val="0000FF"/>
            <w:kern w:val="0"/>
            <w:u w:val="single"/>
            <w:lang w:eastAsia="lt-LT"/>
            <w14:ligatures w14:val="none"/>
          </w:rPr>
          <w:t>(ES) 2019/1149</w:t>
        </w:r>
      </w:hyperlink>
      <w:r w:rsidRPr="00DB5AD5">
        <w:rPr>
          <w:rFonts w:ascii="Times New Roman" w:eastAsia="Times New Roman" w:hAnsi="Times New Roman" w:cs="Times New Roman"/>
          <w:color w:val="000000"/>
          <w:kern w:val="0"/>
          <w:lang w:eastAsia="lt-LT"/>
          <w14:ligatures w14:val="none"/>
        </w:rPr>
        <w:t>, kuriuo įsteigiama Europos darbo institucija, iš dalies keičiami reglamentai </w:t>
      </w:r>
      <w:hyperlink r:id="rId6" w:tgtFrame="_blank" w:history="1">
        <w:r w:rsidRPr="00DB5AD5">
          <w:rPr>
            <w:rFonts w:ascii="Times New Roman" w:eastAsia="Times New Roman" w:hAnsi="Times New Roman" w:cs="Times New Roman"/>
            <w:color w:val="0000FF"/>
            <w:kern w:val="0"/>
            <w:u w:val="single"/>
            <w:lang w:eastAsia="lt-LT"/>
            <w14:ligatures w14:val="none"/>
          </w:rPr>
          <w:t>(EB) Nr. 883/2004</w:t>
        </w:r>
      </w:hyperlink>
      <w:r w:rsidRPr="00DB5AD5">
        <w:rPr>
          <w:rFonts w:ascii="Times New Roman" w:eastAsia="Times New Roman" w:hAnsi="Times New Roman" w:cs="Times New Roman"/>
          <w:color w:val="000000"/>
          <w:kern w:val="0"/>
          <w:lang w:eastAsia="lt-LT"/>
          <w14:ligatures w14:val="none"/>
        </w:rPr>
        <w:t>, </w:t>
      </w:r>
      <w:hyperlink r:id="rId7" w:tgtFrame="_blank" w:history="1">
        <w:r w:rsidRPr="00DB5AD5">
          <w:rPr>
            <w:rFonts w:ascii="Times New Roman" w:eastAsia="Times New Roman" w:hAnsi="Times New Roman" w:cs="Times New Roman"/>
            <w:color w:val="0000FF"/>
            <w:kern w:val="0"/>
            <w:u w:val="single"/>
            <w:lang w:eastAsia="lt-LT"/>
            <w14:ligatures w14:val="none"/>
          </w:rPr>
          <w:t>(ES) Nr. 492/2011</w:t>
        </w:r>
      </w:hyperlink>
      <w:r w:rsidRPr="00DB5AD5">
        <w:rPr>
          <w:rFonts w:ascii="Times New Roman" w:eastAsia="Times New Roman" w:hAnsi="Times New Roman" w:cs="Times New Roman"/>
          <w:color w:val="000000"/>
          <w:kern w:val="0"/>
          <w:lang w:eastAsia="lt-LT"/>
          <w14:ligatures w14:val="none"/>
        </w:rPr>
        <w:t> ir </w:t>
      </w:r>
      <w:hyperlink r:id="rId8" w:tgtFrame="_blank" w:history="1">
        <w:r w:rsidRPr="00DB5AD5">
          <w:rPr>
            <w:rFonts w:ascii="Times New Roman" w:eastAsia="Times New Roman" w:hAnsi="Times New Roman" w:cs="Times New Roman"/>
            <w:color w:val="0000FF"/>
            <w:kern w:val="0"/>
            <w:u w:val="single"/>
            <w:lang w:eastAsia="lt-LT"/>
            <w14:ligatures w14:val="none"/>
          </w:rPr>
          <w:t>(ES) 2016/589</w:t>
        </w:r>
      </w:hyperlink>
      <w:r w:rsidRPr="00DB5AD5">
        <w:rPr>
          <w:rFonts w:ascii="Times New Roman" w:eastAsia="Times New Roman" w:hAnsi="Times New Roman" w:cs="Times New Roman"/>
          <w:color w:val="000000"/>
          <w:kern w:val="0"/>
          <w:lang w:eastAsia="lt-LT"/>
          <w14:ligatures w14:val="none"/>
        </w:rPr>
        <w:t> ir panaikinamas Sprendimas </w:t>
      </w:r>
      <w:hyperlink r:id="rId9" w:tgtFrame="_blank" w:history="1">
        <w:r w:rsidRPr="00DB5AD5">
          <w:rPr>
            <w:rFonts w:ascii="Times New Roman" w:eastAsia="Times New Roman" w:hAnsi="Times New Roman" w:cs="Times New Roman"/>
            <w:color w:val="0000FF"/>
            <w:kern w:val="0"/>
            <w:u w:val="single"/>
            <w:lang w:eastAsia="lt-LT"/>
            <w14:ligatures w14:val="none"/>
          </w:rPr>
          <w:t>(ES) 2016/344</w:t>
        </w:r>
      </w:hyperlink>
      <w:r w:rsidRPr="00DB5AD5">
        <w:rPr>
          <w:rFonts w:ascii="Times New Roman" w:eastAsia="Times New Roman" w:hAnsi="Times New Roman" w:cs="Times New Roman"/>
          <w:color w:val="000000"/>
          <w:kern w:val="0"/>
          <w:lang w:eastAsia="lt-LT"/>
          <w14:ligatures w14:val="none"/>
        </w:rPr>
        <w:t>, 2009 m. rugsėjo 16 d. Europos Parlamento ir Tarybos reglamentas </w:t>
      </w:r>
      <w:hyperlink r:id="rId10" w:tgtFrame="_blank" w:history="1">
        <w:r w:rsidRPr="00DB5AD5">
          <w:rPr>
            <w:rFonts w:ascii="Times New Roman" w:eastAsia="Times New Roman" w:hAnsi="Times New Roman" w:cs="Times New Roman"/>
            <w:color w:val="0000FF"/>
            <w:kern w:val="0"/>
            <w:u w:val="single"/>
            <w:lang w:eastAsia="lt-LT"/>
            <w14:ligatures w14:val="none"/>
          </w:rPr>
          <w:t>(EB) Nr. 987/2009</w:t>
        </w:r>
      </w:hyperlink>
      <w:r w:rsidRPr="00DB5AD5">
        <w:rPr>
          <w:rFonts w:ascii="Times New Roman" w:eastAsia="Times New Roman" w:hAnsi="Times New Roman" w:cs="Times New Roman"/>
          <w:color w:val="000000"/>
          <w:kern w:val="0"/>
          <w:lang w:eastAsia="lt-LT"/>
          <w14:ligatures w14:val="none"/>
        </w:rPr>
        <w:t>, nustatantis Reglamento </w:t>
      </w:r>
      <w:hyperlink r:id="rId11" w:tgtFrame="_blank" w:history="1">
        <w:r w:rsidRPr="00DB5AD5">
          <w:rPr>
            <w:rFonts w:ascii="Times New Roman" w:eastAsia="Times New Roman" w:hAnsi="Times New Roman" w:cs="Times New Roman"/>
            <w:color w:val="0000FF"/>
            <w:kern w:val="0"/>
            <w:u w:val="single"/>
            <w:lang w:eastAsia="lt-LT"/>
            <w14:ligatures w14:val="none"/>
          </w:rPr>
          <w:t>(EB) Nr. 883/2004</w:t>
        </w:r>
      </w:hyperlink>
      <w:r w:rsidRPr="00DB5AD5">
        <w:rPr>
          <w:rFonts w:ascii="Times New Roman" w:eastAsia="Times New Roman" w:hAnsi="Times New Roman" w:cs="Times New Roman"/>
          <w:color w:val="000000"/>
          <w:kern w:val="0"/>
          <w:lang w:eastAsia="lt-LT"/>
          <w14:ligatures w14:val="none"/>
        </w:rPr>
        <w:t> dėl socialinės apsaugos sistemų koordinavimo įgyvendinimo tvarką, su paskutiniais pakeitimais, padarytais 2017 m. kovo 21 d. Komisijos reglamentu </w:t>
      </w:r>
      <w:hyperlink r:id="rId12" w:tgtFrame="_blank" w:history="1">
        <w:r w:rsidRPr="00DB5AD5">
          <w:rPr>
            <w:rFonts w:ascii="Times New Roman" w:eastAsia="Times New Roman" w:hAnsi="Times New Roman" w:cs="Times New Roman"/>
            <w:color w:val="0000FF"/>
            <w:kern w:val="0"/>
            <w:u w:val="single"/>
            <w:lang w:eastAsia="lt-LT"/>
            <w14:ligatures w14:val="none"/>
          </w:rPr>
          <w:t>(ES) 2017/492</w:t>
        </w:r>
      </w:hyperlink>
      <w:r w:rsidRPr="00DB5AD5">
        <w:rPr>
          <w:rFonts w:ascii="Times New Roman" w:eastAsia="Times New Roman" w:hAnsi="Times New Roman" w:cs="Times New Roman"/>
          <w:color w:val="000000"/>
          <w:kern w:val="0"/>
          <w:lang w:eastAsia="lt-LT"/>
          <w14:ligatures w14:val="none"/>
        </w:rPr>
        <w:t>, kuriuo iš dalies keičiamas Europos Parlamento ir Tarybos reglamentas </w:t>
      </w:r>
      <w:hyperlink r:id="rId13" w:tgtFrame="_blank" w:history="1">
        <w:r w:rsidRPr="00DB5AD5">
          <w:rPr>
            <w:rFonts w:ascii="Times New Roman" w:eastAsia="Times New Roman" w:hAnsi="Times New Roman" w:cs="Times New Roman"/>
            <w:color w:val="0000FF"/>
            <w:kern w:val="0"/>
            <w:u w:val="single"/>
            <w:lang w:eastAsia="lt-LT"/>
            <w14:ligatures w14:val="none"/>
          </w:rPr>
          <w:t>(EB) Nr. 883/2004</w:t>
        </w:r>
      </w:hyperlink>
      <w:r w:rsidRPr="00DB5AD5">
        <w:rPr>
          <w:rFonts w:ascii="Times New Roman" w:eastAsia="Times New Roman" w:hAnsi="Times New Roman" w:cs="Times New Roman"/>
          <w:color w:val="000000"/>
          <w:kern w:val="0"/>
          <w:lang w:eastAsia="lt-LT"/>
          <w14:ligatures w14:val="none"/>
        </w:rPr>
        <w:t> dėl socialinės apsaugos sistemų koordinavimo ir Europos Parlamento ir Tarybos reglamentas </w:t>
      </w:r>
      <w:hyperlink r:id="rId14" w:tgtFrame="_blank" w:history="1">
        <w:r w:rsidRPr="00DB5AD5">
          <w:rPr>
            <w:rFonts w:ascii="Times New Roman" w:eastAsia="Times New Roman" w:hAnsi="Times New Roman" w:cs="Times New Roman"/>
            <w:color w:val="0000FF"/>
            <w:kern w:val="0"/>
            <w:u w:val="single"/>
            <w:lang w:eastAsia="lt-LT"/>
            <w14:ligatures w14:val="none"/>
          </w:rPr>
          <w:t>(EB) Nr. 987/2009</w:t>
        </w:r>
      </w:hyperlink>
      <w:r w:rsidRPr="00DB5AD5">
        <w:rPr>
          <w:rFonts w:ascii="Times New Roman" w:eastAsia="Times New Roman" w:hAnsi="Times New Roman" w:cs="Times New Roman"/>
          <w:color w:val="000000"/>
          <w:kern w:val="0"/>
          <w:lang w:eastAsia="lt-LT"/>
          <w14:ligatures w14:val="none"/>
        </w:rPr>
        <w:t>, nustatantis Reglamento </w:t>
      </w:r>
      <w:hyperlink r:id="rId15" w:tgtFrame="_blank" w:history="1">
        <w:r w:rsidRPr="00DB5AD5">
          <w:rPr>
            <w:rFonts w:ascii="Times New Roman" w:eastAsia="Times New Roman" w:hAnsi="Times New Roman" w:cs="Times New Roman"/>
            <w:color w:val="0000FF"/>
            <w:kern w:val="0"/>
            <w:u w:val="single"/>
            <w:lang w:eastAsia="lt-LT"/>
            <w14:ligatures w14:val="none"/>
          </w:rPr>
          <w:t>(EB) Nr. 883/2004</w:t>
        </w:r>
      </w:hyperlink>
      <w:r w:rsidRPr="00DB5AD5">
        <w:rPr>
          <w:rFonts w:ascii="Times New Roman" w:eastAsia="Times New Roman" w:hAnsi="Times New Roman" w:cs="Times New Roman"/>
          <w:color w:val="000000"/>
          <w:kern w:val="0"/>
          <w:lang w:eastAsia="lt-LT"/>
          <w14:ligatures w14:val="none"/>
        </w:rPr>
        <w:t> įgyvendinimo tvarką, ir Europos Sąjungos socialinės apsaugos sistemų koordinavimo reglamentų bei Prekybos ir bendradarbiavimo susitarimo nuostatų, susijusių su nedarbo socialinio draudimo išmokų skyrimu, mokėjimu ir draudimo laikotarpių sumavimu, įgyvendinimo tvarkos aprašas, patvirtintas Lietuvos Respublikos socialinės apsaugos ir darbo ministro 2017 m. gruodžio 22 d. įsakymu Nr. A1-646 „Dėl Europos Sąjungos socialinės apsaugos sistemų koordinavimo reglamentų bei Prekybos ir bendradarbiavimo susitarimo nuostatų, susijusių su nedarbo socialinio draudimo išmokų </w:t>
      </w:r>
      <w:r w:rsidRPr="00DB5AD5">
        <w:rPr>
          <w:rFonts w:ascii="Times New Roman" w:eastAsia="Times New Roman" w:hAnsi="Times New Roman" w:cs="Times New Roman"/>
          <w:color w:val="000000"/>
          <w:spacing w:val="-1"/>
          <w:kern w:val="0"/>
          <w:lang w:eastAsia="lt-LT"/>
          <w14:ligatures w14:val="none"/>
        </w:rPr>
        <w:t>skyrimu, mokėjimu </w:t>
      </w:r>
      <w:r w:rsidRPr="00DB5AD5">
        <w:rPr>
          <w:rFonts w:ascii="Times New Roman" w:eastAsia="Times New Roman" w:hAnsi="Times New Roman" w:cs="Times New Roman"/>
          <w:color w:val="000000"/>
          <w:kern w:val="0"/>
          <w:lang w:eastAsia="lt-LT"/>
          <w14:ligatures w14:val="none"/>
        </w:rPr>
        <w:t>ir draudimo laikotarpių sumavimu, įgyvendinimo tvarkos aprašo patvirtinimo</w:t>
      </w:r>
      <w:r w:rsidRPr="00DB5AD5">
        <w:rPr>
          <w:rFonts w:ascii="Times New Roman" w:eastAsia="Times New Roman" w:hAnsi="Times New Roman" w:cs="Times New Roman"/>
          <w:color w:val="000000"/>
          <w:spacing w:val="-1"/>
          <w:kern w:val="0"/>
          <w:lang w:eastAsia="lt-LT"/>
          <w14:ligatures w14:val="none"/>
        </w:rPr>
        <w:t>“</w:t>
      </w:r>
      <w:r w:rsidRPr="00DB5AD5">
        <w:rPr>
          <w:rFonts w:ascii="Times New Roman" w:eastAsia="Times New Roman" w:hAnsi="Times New Roman" w:cs="Times New Roman"/>
          <w:color w:val="000000"/>
          <w:kern w:val="0"/>
          <w:lang w:eastAsia="lt-LT"/>
          <w14:ligatures w14:val="none"/>
        </w:rPr>
        <w:t>.</w:t>
      </w:r>
    </w:p>
    <w:p w14:paraId="44F0AFF6"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2. Jei norite eksportuoti NSDI į 1 iš valstybių narių, privalote įsiregistruoti kaip bedarbis jos kompetentingoje įstaigoje per Užimtumo tarnybos prie Lietuvos Respublikos socialinės apsaugos ir darbo ministerijos (toliau – Užimtumo tarnyba) išduotame U2 dokumente (asmeniui išduodamame dokumente dėl teisės į NSDI išsaugojimo) nurodytą terminą ir pateikti jai šį dokumentą. To nepadaręs ar tai padaręs pavėluotai, galite prarasti teisę į visą NSDI arba jos dalį. Teisė į NSDI arba jos dalį gali būti išsaugota tik tokiu atveju, jei neįsiregistravimo ar pavėluoto įsiregistravimo priežastys objektyvios – nepriklausančios nuo Jūsų (pvz., ypatinga registracijos kitos valstybės narės įdarbinimo tarnyboje tvarka, suplanuotą kelionę sutrukdę išorės veiksniai ir kt.). Šiuo atveju reikia pateikti objektyvių neįsiregistravimo ar pavėluoto įsiregistravimo priežasčių buvimą patvirtinančius dokumentus ar paaiškinimą raštu.</w:t>
      </w:r>
    </w:p>
    <w:p w14:paraId="609B5572"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lastRenderedPageBreak/>
        <w:t>3. Kitoje valstybėje narėje Jums bus taikoma toje valstybėje narėje galiojanti kontrolės tvarka ir kitos valstybės narės teisės aktų nustatytos sąlygos. Valstybės narės, į kurią vykstate, įdarbinimo tarnyboje gali būti numatyta kitokia registracijos tvarka nei Užimtumo tarnyboje, pvz., aptarnaujama tik tos valstybės narės valstybine kalba, kitoks darbo laikas, prašoma pateikti kitokius dokumentus ar įvykdyti kitokius reikalavimus (pvz., turėti sąskaitą banke, kitoje kredito ar mokėjimo paslaugas teikiančioje įstaigoje toje valstybėje narėje, įsiregistruoti policijoje, gauti tos valstybės narės socialinio draudimo numerį, iš anksto rezervuoti apsilankymo laiką ir kt.). Norėdami sužinoti registracijos tvarką konkrečioje valstybėje narėje, galite kreiptis į jos arba Lietuvos Respublikos EURES specialistą.</w:t>
      </w:r>
    </w:p>
    <w:p w14:paraId="4229D187"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4. Pagal U2 dokumentą eksportuotos NSDI mokėjimą tęsia Valstybinio socialinio draudimo fondo valdybos prie Socialinės apsaugos ir darbo ministerijos paskirtas teritorinis skyrius – perveda atitinkamą sumą į Jūsų sąskaitą kredito ar mokėjimo įstaigoje. Pervedimai atliekami tik Užimtumo tarnybai gavus kitos valstybės narės įdarbinimo tarnybos patvirtinimą, jog įsiregistravote laiku (struktūrizuotas elektroninis dokumentas U009 „Dokumentas dėl išmokų eksporto“), ir patvirtinimus, įrodančius Jūsų darbo paiešką tolesniu laikotarpiu (paprastai, struktūrizuotas elektroninis dokumentas U013 „Mėnesinė ataskaita“), todėl mokėjimai gali užtrukti. Rekomenduotina bendraujant su kitos valstybės narės įdarbinimo tarnyba, kurioje įsiregistravote, pabrėžti šiuos reikalavimus ir aktyviai domėtis, ar ši įstaiga siunčia minėtus patvirtinimus.</w:t>
      </w:r>
    </w:p>
    <w:p w14:paraId="5957FD16"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5. Jeigu apsigalvojote ir į valstybę narę ieškotis darbo nusprendėte nebevykti, per gautame U2 dokumente nurodytą terminą, per kurį turėtumėte įsiregistruoti kitos valstybės narės įdarbinimo tarnyboje, turite apie tai raštu informuoti Užimtumo tarnybą, ir NSDI toliau bus mokama Lietuvos Respublikoje.</w:t>
      </w:r>
    </w:p>
    <w:p w14:paraId="1F95150D"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6. Jeigu per U2 dokumente nurodytą NSDI eksporto laikotarpį neradote darbo valstybėje narėje, į kurią išvykote, turite teisę iki šio laikotarpio pabaigos sugrįžti į Lietuvos Respubliką, apsilankyti Užimtumo tarnyboje ir toliau gauti NSDI iki laikotarpio, kuriuo turite teisę gauti šią išmoką, pabaigos.</w:t>
      </w:r>
    </w:p>
    <w:p w14:paraId="35556851"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7. Nepasibaigus 3 mėnesių NSDI eksporto laikotarpiui, galite kreiptis į Užimtumo tarnybą ir raštu pateikti prašymą dėl NSDI eksporto pratęsimo dar 3 mėnesių laikotarpiui, neviršijant Jums skirtos NSDI mokėjimo trukmės.</w:t>
      </w:r>
    </w:p>
    <w:p w14:paraId="288FC80A"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8. NSDI eksporto laikotarpiu aptarnaujančiam Užimtumo tarnybos specialistui turite raštu pranešti apie aplinkybių pasikeitimą per 5 darbo dienas nuo aplinkybių pasikeitimo dienos (pvz., įsidarbinote, grįžote į Lietuvos Respubliką, nebesate registruotas kitos valstybės narės įdarbinimo tarnyboje).</w:t>
      </w:r>
    </w:p>
    <w:p w14:paraId="2EF9EE97"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9. Jei, pasibaigus NSDI eksporto terminui, nuspręsite negrįžti į Lietuvos Respubliką, privalote apie tai raštu informuoti Užimtumo tarnybą.</w:t>
      </w:r>
    </w:p>
    <w:p w14:paraId="4542F138" w14:textId="77777777" w:rsidR="00DB5AD5" w:rsidRPr="00DB5AD5" w:rsidRDefault="00DB5AD5" w:rsidP="00DB5AD5">
      <w:pPr>
        <w:spacing w:after="0" w:line="36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10. Teikdamas informaciją Užimtumo tarnybai paštu ar elektroniniu paštu, nurodykite vardą, pavardę, asmens kodą ar gimimo datą (jei neturite asmens kodo).</w:t>
      </w:r>
    </w:p>
    <w:p w14:paraId="342CCD6F" w14:textId="77777777" w:rsidR="00DB5AD5" w:rsidRPr="00DB5AD5" w:rsidRDefault="00DB5AD5" w:rsidP="00DB5AD5">
      <w:pPr>
        <w:spacing w:after="0" w:line="300" w:lineRule="atLeast"/>
        <w:ind w:firstLine="567"/>
        <w:jc w:val="both"/>
        <w:rPr>
          <w:rFonts w:ascii="Times New Roman" w:eastAsia="Times New Roman" w:hAnsi="Times New Roman" w:cs="Times New Roman"/>
          <w:color w:val="000000"/>
          <w:kern w:val="0"/>
          <w:lang w:eastAsia="lt-LT"/>
          <w14:ligatures w14:val="none"/>
        </w:rPr>
      </w:pPr>
      <w:r w:rsidRPr="00DB5AD5">
        <w:rPr>
          <w:rFonts w:ascii="Times New Roman" w:eastAsia="Times New Roman" w:hAnsi="Times New Roman" w:cs="Times New Roman"/>
          <w:color w:val="000000"/>
          <w:kern w:val="0"/>
          <w:lang w:eastAsia="lt-LT"/>
          <w14:ligatures w14:val="none"/>
        </w:rPr>
        <w:t> </w:t>
      </w:r>
    </w:p>
    <w:tbl>
      <w:tblPr>
        <w:tblW w:w="5000" w:type="pct"/>
        <w:tblCellMar>
          <w:left w:w="0" w:type="dxa"/>
          <w:right w:w="0" w:type="dxa"/>
        </w:tblCellMar>
        <w:tblLook w:val="04A0" w:firstRow="1" w:lastRow="0" w:firstColumn="1" w:lastColumn="0" w:noHBand="0" w:noVBand="1"/>
      </w:tblPr>
      <w:tblGrid>
        <w:gridCol w:w="4809"/>
        <w:gridCol w:w="4809"/>
      </w:tblGrid>
      <w:tr w:rsidR="00DB5AD5" w:rsidRPr="00DB5AD5" w14:paraId="09A868E4" w14:textId="77777777">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D1D7DE" w14:textId="77777777" w:rsidR="00DB5AD5" w:rsidRPr="00DB5AD5" w:rsidRDefault="00DB5AD5" w:rsidP="00DB5AD5">
            <w:pPr>
              <w:spacing w:after="0" w:line="240" w:lineRule="auto"/>
              <w:jc w:val="both"/>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Jus aptarnaujantis Užimtumo tarnybos specialistas:</w:t>
            </w:r>
          </w:p>
          <w:p w14:paraId="4E53307F" w14:textId="77777777" w:rsidR="00DB5AD5" w:rsidRPr="00DB5AD5" w:rsidRDefault="00DB5AD5" w:rsidP="00DB5AD5">
            <w:pPr>
              <w:spacing w:after="0" w:line="240" w:lineRule="auto"/>
              <w:jc w:val="both"/>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Vardas, pavardė</w:t>
            </w:r>
          </w:p>
          <w:p w14:paraId="68785199" w14:textId="77777777" w:rsidR="00DB5AD5" w:rsidRPr="00DB5AD5" w:rsidRDefault="00DB5AD5" w:rsidP="00DB5AD5">
            <w:pPr>
              <w:spacing w:after="0" w:line="240" w:lineRule="auto"/>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Telefono ryšio numeris</w:t>
            </w:r>
          </w:p>
          <w:p w14:paraId="6ADF5623" w14:textId="77777777" w:rsidR="00DB5AD5" w:rsidRPr="00DB5AD5" w:rsidRDefault="00DB5AD5" w:rsidP="00DB5AD5">
            <w:pPr>
              <w:spacing w:after="0" w:line="240" w:lineRule="auto"/>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Elektroninio pašto adresas</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86AB6" w14:textId="77777777" w:rsidR="00DB5AD5" w:rsidRPr="00DB5AD5" w:rsidRDefault="00DB5AD5" w:rsidP="00DB5AD5">
            <w:pPr>
              <w:spacing w:after="0" w:line="240" w:lineRule="auto"/>
              <w:jc w:val="both"/>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EURES specialistas:</w:t>
            </w:r>
          </w:p>
          <w:p w14:paraId="19229479" w14:textId="77777777" w:rsidR="00DB5AD5" w:rsidRPr="00DB5AD5" w:rsidRDefault="00DB5AD5" w:rsidP="00DB5AD5">
            <w:pPr>
              <w:spacing w:after="0" w:line="240" w:lineRule="auto"/>
              <w:jc w:val="both"/>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Vardas, pavardė</w:t>
            </w:r>
          </w:p>
          <w:p w14:paraId="5EA69CF4" w14:textId="77777777" w:rsidR="00DB5AD5" w:rsidRPr="00DB5AD5" w:rsidRDefault="00DB5AD5" w:rsidP="00DB5AD5">
            <w:pPr>
              <w:spacing w:after="0" w:line="240" w:lineRule="auto"/>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Telefono ryšio numeris</w:t>
            </w:r>
          </w:p>
          <w:p w14:paraId="38E022EB" w14:textId="77777777" w:rsidR="00DB5AD5" w:rsidRPr="00DB5AD5" w:rsidRDefault="00DB5AD5" w:rsidP="00DB5AD5">
            <w:pPr>
              <w:spacing w:after="0" w:line="240" w:lineRule="auto"/>
              <w:jc w:val="both"/>
              <w:rPr>
                <w:rFonts w:ascii="Times New Roman" w:eastAsia="Times New Roman" w:hAnsi="Times New Roman" w:cs="Times New Roman"/>
                <w:kern w:val="0"/>
                <w:lang w:eastAsia="lt-LT"/>
                <w14:ligatures w14:val="none"/>
              </w:rPr>
            </w:pPr>
            <w:r w:rsidRPr="00DB5AD5">
              <w:rPr>
                <w:rFonts w:ascii="Times New Roman" w:eastAsia="Times New Roman" w:hAnsi="Times New Roman" w:cs="Times New Roman"/>
                <w:kern w:val="0"/>
                <w:lang w:eastAsia="lt-LT"/>
                <w14:ligatures w14:val="none"/>
              </w:rPr>
              <w:t>Elektroninio pašto adresas</w:t>
            </w:r>
          </w:p>
        </w:tc>
      </w:tr>
    </w:tbl>
    <w:p w14:paraId="1CCCAC4D" w14:textId="77777777" w:rsidR="00DB5AD5" w:rsidRPr="00DB5AD5" w:rsidRDefault="00DB5AD5" w:rsidP="00DB5AD5">
      <w:pPr>
        <w:spacing w:after="0" w:line="240" w:lineRule="auto"/>
        <w:jc w:val="center"/>
        <w:rPr>
          <w:rFonts w:ascii="Times New Roman" w:eastAsia="Times New Roman" w:hAnsi="Times New Roman" w:cs="Times New Roman"/>
          <w:color w:val="000000"/>
          <w:kern w:val="0"/>
          <w:lang w:eastAsia="lt-LT"/>
          <w14:ligatures w14:val="none"/>
        </w:rPr>
      </w:pPr>
      <w:bookmarkStart w:id="0" w:name="part_5f2d74405e6b46b48d01c7e8354be0f3"/>
      <w:bookmarkEnd w:id="0"/>
      <w:r w:rsidRPr="00DB5AD5">
        <w:rPr>
          <w:rFonts w:ascii="Times New Roman" w:eastAsia="Times New Roman" w:hAnsi="Times New Roman" w:cs="Times New Roman"/>
          <w:color w:val="000000"/>
          <w:kern w:val="0"/>
          <w:lang w:eastAsia="lt-LT"/>
          <w14:ligatures w14:val="none"/>
        </w:rPr>
        <w:t>__________</w:t>
      </w:r>
    </w:p>
    <w:p w14:paraId="594023DC" w14:textId="77777777" w:rsidR="000C56D7" w:rsidRDefault="000C56D7"/>
    <w:sectPr w:rsidR="000C56D7" w:rsidSect="00DB5AD5">
      <w:pgSz w:w="11906" w:h="16838"/>
      <w:pgMar w:top="14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D5"/>
    <w:rsid w:val="000A3C4E"/>
    <w:rsid w:val="000C56D7"/>
    <w:rsid w:val="00846307"/>
    <w:rsid w:val="00DB5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403D"/>
  <w15:chartTrackingRefBased/>
  <w15:docId w15:val="{3A5674F8-1702-4732-8C64-89CA0593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5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5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5A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5A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5A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5A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5A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5A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5A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5A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5A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5A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5A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5A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5A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5A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5A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5A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5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5A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5A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5A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5A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5AD5"/>
    <w:rPr>
      <w:i/>
      <w:iCs/>
      <w:color w:val="404040" w:themeColor="text1" w:themeTint="BF"/>
    </w:rPr>
  </w:style>
  <w:style w:type="paragraph" w:styleId="Sraopastraipa">
    <w:name w:val="List Paragraph"/>
    <w:basedOn w:val="prastasis"/>
    <w:uiPriority w:val="34"/>
    <w:qFormat/>
    <w:rsid w:val="00DB5AD5"/>
    <w:pPr>
      <w:ind w:left="720"/>
      <w:contextualSpacing/>
    </w:pPr>
  </w:style>
  <w:style w:type="character" w:styleId="Rykuspabraukimas">
    <w:name w:val="Intense Emphasis"/>
    <w:basedOn w:val="Numatytasispastraiposriftas"/>
    <w:uiPriority w:val="21"/>
    <w:qFormat/>
    <w:rsid w:val="00DB5AD5"/>
    <w:rPr>
      <w:i/>
      <w:iCs/>
      <w:color w:val="0F4761" w:themeColor="accent1" w:themeShade="BF"/>
    </w:rPr>
  </w:style>
  <w:style w:type="paragraph" w:styleId="Iskirtacitata">
    <w:name w:val="Intense Quote"/>
    <w:basedOn w:val="prastasis"/>
    <w:next w:val="prastasis"/>
    <w:link w:val="IskirtacitataDiagrama"/>
    <w:uiPriority w:val="30"/>
    <w:qFormat/>
    <w:rsid w:val="00DB5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5AD5"/>
    <w:rPr>
      <w:i/>
      <w:iCs/>
      <w:color w:val="0F4761" w:themeColor="accent1" w:themeShade="BF"/>
    </w:rPr>
  </w:style>
  <w:style w:type="character" w:styleId="Rykinuoroda">
    <w:name w:val="Intense Reference"/>
    <w:basedOn w:val="Numatytasispastraiposriftas"/>
    <w:uiPriority w:val="32"/>
    <w:qFormat/>
    <w:rsid w:val="00DB5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589&amp;locale=lt" TargetMode="External"/><Relationship Id="rId13" Type="http://schemas.openxmlformats.org/officeDocument/2006/relationships/hyperlink" Target="http://eur-lex.europa.eu/legal-content/LIT/TXT/?uri=CELEX:32004R0883&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2011R0492&amp;locale=lt" TargetMode="External"/><Relationship Id="rId12" Type="http://schemas.openxmlformats.org/officeDocument/2006/relationships/hyperlink" Target="http://eur-lex.europa.eu/legal-content/LIT/TXT/?uri=CELEX:32017R0492&amp;locale=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legal-content/LIT/TXT/?uri=CELEX:32004R0883&amp;locale=lt" TargetMode="External"/><Relationship Id="rId11" Type="http://schemas.openxmlformats.org/officeDocument/2006/relationships/hyperlink" Target="http://eur-lex.europa.eu/legal-content/LIT/TXT/?uri=CELEX:32004R0883&amp;locale=lt" TargetMode="External"/><Relationship Id="rId5" Type="http://schemas.openxmlformats.org/officeDocument/2006/relationships/hyperlink" Target="http://eur-lex.europa.eu/legal-content/LIT/TXT/?uri=CELEX:32019R1149&amp;locale=lt" TargetMode="External"/><Relationship Id="rId15"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09R0987&amp;locale=lt" TargetMode="External"/><Relationship Id="rId4" Type="http://schemas.openxmlformats.org/officeDocument/2006/relationships/hyperlink" Target="http://eur-lex.europa.eu/legal-content/LIT/TXT/?uri=CELEX:32004R0883&amp;locale=lt" TargetMode="External"/><Relationship Id="rId9" Type="http://schemas.openxmlformats.org/officeDocument/2006/relationships/hyperlink" Target="http://eur-lex.europa.eu/legal-content/LIT/TXT/?uri=CELEX:32016D0344&amp;locale=lt" TargetMode="External"/><Relationship Id="rId14"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b76ce43-ccf7-4eab-8171-07b7987a510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4868</Words>
  <Characters>2776</Characters>
  <Application>Microsoft Office Word</Application>
  <DocSecurity>0</DocSecurity>
  <Lines>23</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Žygaitė</dc:creator>
  <cp:keywords/>
  <dc:description/>
  <cp:lastModifiedBy>Agnė Žygaitė</cp:lastModifiedBy>
  <cp:revision>1</cp:revision>
  <dcterms:created xsi:type="dcterms:W3CDTF">2026-01-15T14:15:00Z</dcterms:created>
  <dcterms:modified xsi:type="dcterms:W3CDTF">2026-01-15T14:16:00Z</dcterms:modified>
</cp:coreProperties>
</file>